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文化景观条件下湖泊类型变化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Changes in lake types under cultural landscape conditions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10.12389/ariddc.01671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33110.11.ariddc.01671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在人为因素（包括流域开发、工农业生产发展及湖滨休闲利用）影响下，对水化学类型各异的湖泊状况变化进行了研究。重点探讨了流域径流物质组成形成问题，将其视为水系统-水体之间联系的重要环节。书中还展示了利用人工曝气消除湖泊生态系统不良变化的可能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作者（编委会）：Г.С.希尔克罗特（Г.С. Шилькрот） 出版社：Издательство «Наука» 出版地：莫斯科 出版年：1979年 页数：159页 语种：俄文 馆藏条形码：XJLAS RU 70001997 分类号：УДК 577.472(28) (911.5/.7)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31219.2-2014图书馆馆藏资源数字化加工规范》，完全遵照《文化景观条件下湖泊类型变化》的数据信息，未改动删减。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对收集到的《文化景观条件下湖泊类型变化》进行电子化加工处理，按照国家标准《GB/T 31219.2-2014图书馆馆藏资源数字化加工规范》要求，未改动删减《文化景观条件下湖泊类型变化》的数据信息，数据质量可靠。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2025/08/06-2025/08/30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人工曝气,  流域开发, 湖泊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湖沼学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文化景观条件下湖泊类型变化. 干旱区生态与资源科学数据中心(https://data.dcxjegi.cn), 2026. https://cstr.cn/CSTR:33110.11.ariddc.01671.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