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Changes in lake types under cultural landscape conditions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10.12389/ariddc.01671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33110.11.ariddc.01671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studies changes in lake conditions with different water chemical types under the influence of human factors (including watershed development, industrial and agricultural production development, and lakeside leisure utilization). The formation of runoff material composition in the basin is mainly discussed and regarded as an important link in the connection between water system and water body. The book also demonstrates the possibility of using artificial aeration to eliminate adverse changes in lake ecosystems.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丨.С. Hillcrot (丨.С.Шилькрот） Published by: 丨 зда тельство « 丨 аука» Published: Moscow Publication year: 1979 Pages: 159 pages Language: Russian Collection barcode: XJLAS RU 70001997 Classification No.: У п б 577.472(28) (911.5/.7)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"Changes in Lake Types under Cultural Landscape Conditions"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"Changes in Lake Types under Cultural Landscape Conditions" were electronically processed and processed. In accordance with the requirements of the national standard "GB/T 31219.2-2014 Code for Digital Processing of Library Collection Resources","Changes in Lake Types under Cultural Landscape Conditions" were not changed and deleted."Data information,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time:2025/08/06-2025/08/30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Theme:Artificial aeration, Basin development, Lakes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Subject:Limnology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Changes in lake types under cultural landscape conditions. Arid Land Ecology and Resources Science Data Center(https://data.dcxjegi.cn), 2026. https://cstr.cn/CSTR:33110.11.ariddc.01671.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