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新疆10m水体悬浮物浓度数据集（2021年4-10月）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本数据采用2021年4-10月哨兵2号光学卫星数据为数据源，采样随机森林回归（RFR）方法构建新疆湖泊悬浮物浓度遥感估算模型。数据为CGCS2000坐标系阿伯斯投影，精度为10米。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采用2021年4-10月哨兵2号光学卫星数据为数据源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 2 A/B MSI。从欧空局哥白尼数据开放中心获取L1C数据。采用欧空局提供的SEN2COR算法进行大气校正。但是SEN2COR为陆地大气校正算法，需要针对进一步去除天空光、太阳耀斑和残余气溶胶散射的影响。采样随机森林回归（RFR）方法构建水质参数模型。通过调整输入算法的最佳输入变量，各算法最优超参数通过格网化搜索方法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利用大量野外调查和星地同步数据进行模型研究，结果表明RFR悬浮物浓度算法精度较高，不确定性为（ϵ）为24.29%，偏差（β）为6.77%，斜率为0.90，均方根对数误差为0.219。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水体悬浮物浓度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新疆10m水体悬浮物浓度数据集（2021年4-10月）. 干旱区生态与资源科学数据中心(https://data.dcxjegi.cn), 2025. https://cstr.cn/CSTR:33110.11.XIEG.xjsedata.2022.00000110.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