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新疆MODIS_1KM_8天合成总初级生产力产品（2000-2010年）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10.12389/ariddc.00555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33110.11.ariddc.00555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以2000年-2010年MODIS的总初级生产力17A2分幅数据为数据源，数据分辩率为1KM，8天合成，利用ENVI软件平台，进行数据拼接、投影转换、边界裁切等影像处理，生成2000-2010年新疆总初级生产力数据,空间分辨率1000米，时间分辨率8天，投影采用GCS_WGS_1984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2000年-2010年MODIS的总初级生产力17A2分幅数据 新疆行政区界线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利用ENVI软件，进行数据拼接、投影转换、边界裁切等影像处理，生成ENVI Standard栅格数据 主要环节： 1. 数据拼接，选取新疆范围内的2000年-2010年MODIS的总初级生产力17A2分幅数据 2. 投影转换，投影转换为WGS84投影 3. 边界裁切，以新疆行政区界线裁切MODIS数据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未改变原始数据的分辨率，未增减原有数据属性信息。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总初级生产力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李均力. 新疆MODIS_1KM_8天合成总初级生产力产品（2000-2010年）. 干旱区生态与资源科学数据中心(https://data.dcxjegi.cn), 2025. https://cstr.cn/CSTR:33110.11.ariddc.00555.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