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车尔臣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尔臣河水系由车尔臣河干流及其上游支流乌鲁克苏河、乌鲁格河、阿克苏河等组成。车尔臣河干流长度为760.48 km。车尔臣河流域山区部分的地理位置为36°09'16"N-38°20'37"N，85°32'25"E-88°11'47"E。流域面积为33,001.02 km²（Albers投影），流域边界长度为1,182.43 km（Lambert投影）。该部分流域面积的99.95%位于新疆维吾尔自治区巴音郭楞蒙古自治州（95.99%位于且末县，3.96%位于若羌县），0.05%位于西藏自治区那曲市双湖县。该部分流域高程划分为12种类型。该数据集基于Google earth影像、ASTER GDEM 30m数据、结合实测数据研发得到。数据集内容包括：（1）车尔臣河水系数据；（2）车尔臣河流域（山区）边界数据；（3）车尔臣河流域（山区）高程分类数据。数据集以.kmz、.shp与.tif数据格式存储，由31个数据文件组成，数据量为8.14 MB（压缩为3个文件，5.5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车尔臣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车尔臣河水系、流域（山区）及高程分类数据集. 干旱区生态与资源科学数据中心(https://data.dcxjegi.cn), 2025. https://www.doi.org/10.3974/geodb.2023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车尔臣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