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塔里木河流域及其毗邻地区0.1°地下水储量月度变化实验数据集（2002-2022）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水资源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构建了两种降尺度方案：从像元时间连续性出发采用半监督变分自编码器算法（SSVAER），以及基于像元空间相关性采用多尺度地理加权回归模型（MGWR）。以塔里木河流域为研究区，采用德克萨斯大学奥斯汀分校空间研究中心（CSR-RL06M）和喷气推进实验室（JPL-RL06M）两种GRACE发行机构的Mascon产品均值作为数据源，时间尺度为2002年4月至2022年6月，共210个月。预测因子选择降水、雪水当量、陆地表面温度、蒸发、径流和NDVI。两种方案均实现了GRACE反演地下水储量异常（GWSA）空间分辨率从0.5°提高至0.1°。研究结果表明：在80%以上的研究区域内，降尺度前后的GWSA数据相关性介于0.94-0.98之间；基于SSVAER和MGWR两种方案分别将GWSA与地下水位之间的相关性从0.27提高至0.59和0.52。均方根误差均低于8。本数据集内容包括：（1）基于SSVAER方案的降尺度结果；（2）基于MGWR方案的降尺度结果。该数据集以.tif格式存储，空间分辨率为0.1°。数据集由420个数据文件组成，数据量为62.2 MB（压缩为1个文件，50.1 MB）。基于该数据集的论文发表在Science of the Total Environment，2024年907卷。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采用德克萨斯大学奥斯汀分校空间研究中心（CSR-RL06M）和喷气推进实验室（JPL-RL06M）两种GRACE发行机构的Mascon产品均值作为数据源，时间尺度为2002年4月至2022年6月，共210个月。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.tif格式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0.1°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GRACE,  降尺度,  地下水储量异常,  机器学习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2002 2003 2004 2005 2006 2007 2008 2009 2010 2011 2012 2013 2014 2015 2016 2017 2018 2019 2020 2021 2022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薛冬萍,  桂东伟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薛冬萍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薛冬萍,桂东伟. 塔里木河流域及其毗邻地区0.1°地下水储量月度变化实验数据集（2002-2022）. 干旱区生态与资源科学数据中心(https://data.dcxjegi.cn), 2025. https://www.doi.org/10.3974/geodb.2025.03.01.V1.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