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塔里木河流域及其毗邻地区0.1°地下水储量月度变化实验数据集（2002-2022）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构建了两种降尺度方案：从像元时间连续性出发采用半监督变分自编码器算法（SSVAER），以及基于像元空间相关性采用多尺度地理加权回归模型（MGWR）。以塔里木河流域为研究区，采用德克萨斯大学奥斯汀分校空间研究中心（CSR-RL06M）和喷气推进实验室（JPL-RL06M）两种GRACE发行机构的Mascon产品均值作为数据源，时间尺度为2002年4月至2022年6月，共210个月。预测因子选择降水、雪水当量、陆地表面温度、蒸发、径流和NDVI。两种方案均实现了GRACE反演地下水储量异常（GWSA）空间分辨率从0.5°提高至0.1°。研究结果表明：在80%以上的研究区域内，降尺度前后的GWSA数据相关性介于0.94-0.98之间；基于SSVAER和MGWR两种方案分别将GWSA与地下水位之间的相关性从0.27提高至0.59和0.52。均方根误差均低于8。本数据集内容包括：（1）基于SSVAER方案的降尺度结果；（2）基于MGWR方案的降尺度结果。该数据集以.tif格式存储，空间分辨率为0.1°。数据集由420个数据文件组成，数据量为62.2 MB（压缩为1个文件，50.1 MB）。基于该数据集的论文发表在Science of the Total Environment，2024年907卷。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采用德克萨斯大学奥斯汀分校空间研究中心（CSR-RL06M）和喷气推进实验室（JPL-RL06M）两种GRACE发行机构的Mascon产品均值作为数据源，时间尺度为2002年4月至2022年6月，共210个月。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GRACE,  降尺度,  地下水储量异常, 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  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薛冬萍,桂东伟. 塔里木河流域及其毗邻地区0.1°地下水储量月度变化实验数据集（2002-2022）. 干旱区生态与资源科学数据中心(https://data.dcxjegi.cn), 2025. https://www.doi.org/10.3974/geodb.2025.03.01.V1.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