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研究系统整理了哈萨克斯坦境内原囊菌纲（Protoascomycetes）和真囊菌纲（Euascomycetes）两大类子囊菌的分类学资料，涵盖Endomycetales、Taphrinales等9个目级分类单元。书中详细记载了各物种的形态鉴别特征及其在哈萨克斯坦的地理分布信息，并提供了从科到种的多级分类检索系统。研究指出，该类真菌兼具生态与经济双重价值：既包含危害农林作物的病原菌，也含有参与有机质分解的关键生态类群。全书配有66幅精细显微结构图和2张分类对比表，引用文献90篇，其学术价值辐射至整个中亚及国际研究领域，成为真菌学和植物病理学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贝佐娃（М. Бызова）М. П. 瓦夏金娜（М. П. Васягина） 出版社：Издательство «НАУКА» Казахской ССР 出版地：阿拉木图 出版年：1981年 页数：242页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31219.2-2014图书馆馆藏资源数字化加工规范》，完全遵照《哈萨克斯坦孢子植物志第12卷》的数据信息，未改动删减。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对收集到的《哈萨克斯坦孢子植物志第12卷》进行电子化加工处理，按照国家标准《GB/T 31219.2-2014图书馆馆藏资源数字化加工规范》要求，未改动删减《哈萨克斯坦孢子植物志第12卷》的数据信息，数据质量可靠。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植物病原真菌,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 干旱区生态与资源科学数据中心(https://data.dcxjegi.cn), 2025. https://cstr.cn/CSTR:33110.11.ariddc.00937.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