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中亚MODIS_1km_8天合成叶面积指数产品（2000-2010年）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33110.11.ariddc.00520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本数据以2000年-2010年MODIS的叶面积指数15A2分幅数据为数据源，数据分辩率为1KM，8天合成，利用ENVI软件平台，进行数据拼接、投影转换、边界裁切等影像处理，生成2000-2010年中亚叶面积指数数据。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2000年-2010年MODIS的叶面积指数15A2分幅数据 中亚行政区界线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利用ENVI软件，进行数据拼接、投影转换、边界裁切等影像处理，生成ENVI Standard栅格数据 主要环节： 1. 数据拼接，选取中亚范围内的2000年-2010年MODIS的叶面积指数15A2分幅数据 2. 投影转换，投影转换为WGS84投影 3. 边界裁切，以中亚行政区界线裁切MODIS数据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未改变原始数据的分辨率，未增减原有数据属性信息。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8.6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叶面积指数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吉尔吉斯斯坦,   塔吉克斯坦,  哈萨克斯坦,   土库曼斯坦,   乌兹别克斯坦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李均力. 中亚MODIS_1km_8天合成叶面积指数产品（2000-2010年）. 干旱区生态与资源科学数据中心(https://data.dcxjegi.cn), 2025. https://cstr.cn/CSTR:33110.11.ariddc.00520.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