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1346-1995年中亚地区树木年轮数据集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括哈萨克斯坦1个点，吉尔吉斯斯7个点（150、151、152、156、160、kyrg001、kyrg002）的树木年轮宽度数据，数据内容包含采样点坐标、采样起始年份、采样人、样本编号、年份、宽度值。数据以.rwl格式存储，可用记事本打开编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国际树木年轮数据库 https://www.ncdc.noaa.gov/data-access/paleoclimatology-data/datasets/tree-ring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根据测量系统，选择从树皮到树芯或从树芯到树皮的方向进行测量。测量前，要对测量仪校准，将显微镜的十字线与测量平台调整在一条直线上。测量时，不断调整样本确保年轮测量宽度为两条年轮间的垂直距离，即测量台的移动方向与所测树轮边线的圆心在一条直线上（显微镜十字线的纵线始终与树轮边线相切）。在树轮断裂的位置，避免将开裂空隙计入年轮宽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宽度数据测量的精度为0.01mm。 数据产生过程遵循的是QX/T90-2008《树木年轮气候研究树轮采样规范》。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458.7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.rwl格式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年轮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1666-1995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何清,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何清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何清,陈曦. 1346-1995年中亚地区树木年轮数据集. 干旱区生态与资源科学数据中心(https://data.dcxjegi.cn), 2025. https://cstr.cn/CSTR:33110.11.ariddc.00636.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