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苏联河流泥沙径流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Sediment runoff from Soviet rivers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由于平均含沙量地图的编制方法基本保持不变，作者认为没有必要在此对此进行比本工作中更详细的阐述。在结论部分指出了在泥沙径流研究不够充分的地区发展泥沙观测的必要性。 在苏联大规模进行水电、供水和干旱地区灌溉等水利工程的背景下，设计单位对河流泥沙径流及其年内分配的水文研究提出了要求。考虑到这些要求，国立水文研究所泥沙与水化学实验室在过去两年中对材料进行了系统整理和处理，以确定年均和月均含沙量及水浑浊度的多年平均值。 在作者早前发表的《苏联河流悬移质泥沙径流》[国立水文研究所著作集，第20(74)辑，1949年]中，给出了截至1945-1946年期间778个测站的数据，而本工作使用了截至1952年（含）的数据。在此期间，观测站数量增加到1015个，即增加了30%，相应地原有测站的观测时长也有所增加。测站数量的增加和观测期限的延长使得有可能更准确地确定水量和泥沙径流的多年平均特征，并几乎对所有测站提供了月均含沙量和浑浊度的表格数据。除表格数据外，本书还以大比例尺给出了苏联欧洲部分、高加索、中亚地区的平均河流含沙量详图，以及包括西伯利亚、远东和北哈萨克斯坦在内的整个苏联领土的综合图。本书对各个含沙量带的边界进行了详细描述。在编制地图时考虑了当地的景观和侵蚀条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И.沙莫夫（Г. И. Шамов） 出版社：Гидрометеоиздат 出版地：莫斯科 出版年：1956年 页数：253页 语种：俄文 馆藏条形码：XJLAS RU 70025969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31219.2-2014图书馆馆藏资源数字化加工规范》，完全遵照《苏联河流泥沙径流》的数据信息，未改动删减。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对收集到的《苏联河流泥沙径流》进行电子化加工处理，按照国家标准《GB/T 31219.2-2014图书馆馆藏资源数字化加工规范》要求，未改动删减《苏联河流泥沙径流》的数据信息，数据质量可靠。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2025/11/05-2025/11/05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  泥沙径流, 含沙量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苏联河流泥沙径流. 干旱区生态与资源科学数据中心(https://data.dcxjegi.cn), 2026. https://cstr.cn/CSTR:33110.11.ariddc.01718.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