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哈萨克斯坦孢子植物志第4卷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系统研究了哈萨克斯坦境内的异担子菌纲和同担子菌纲真菌资源。研究详细记载了该地区所有已发现物种及其变型的分类学特征，提供了从科到种的多级检索系统，并针对木腐菌和树木病原菌提出了实用防治建议。除常见物种外，本卷特别关注了稀有物种和新发现物种的生物学特性，填补了该地区高等真菌研究的空白。全书配有丰富的显微结构图和生态照片，既可作为林业工作者防治树木病害的实用指南，又能满足真菌学、农林科学领域研究者及高校师生的科研教学需求，对保护哈萨克斯坦的森林生态系统和城市绿化资源具有重要实践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Р. 施瓦茨曼（С. Р. Шварцман） 出版社：Издательство «Наука» Казахской ССР 出版地：阿拉木图 出版年：1964年 页数：713页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31219.2-2014图书馆馆藏资源数字化加工规范》，完全遵照《哈萨克斯坦孢子植物志第4卷》的数据信息，未改动删减。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对收集到的《哈萨克斯坦孢子植物志第4卷》进行电子化加工处理，按照国家标准《GB/T 31219.2-2014图书馆馆藏资源数字化加工规范》要求，未改动删减《哈萨克斯坦孢子植物志第4卷》的数据信息，数据质量可靠。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高等真菌,  木腐菌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哈萨克斯坦孢子植物志第4卷. 干旱区生态与资源科学数据中心(https://data.dcxjegi.cn), 2025. https://cstr.cn/CSTR:33110.11.ariddc.00923.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