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2010年新疆1:25万土地覆被数据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10.12389/ariddc.00383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林地、草地、湿地、耕地、人工表面、其他等6个一级类型和38个二级类型，以1:10万新疆地形图、1:100万新疆土地利用数据、1:100万新疆草地资源数据、1:100万新疆林地资源数据、新疆地区30米分辨率的2010年度TM数据、空间格网精度不低于30米的DEM数据等为数据源，在ERDAS、eCognition和ArcGIS等环境下，通过专家分析和遥感自动分类相结合的方法，配合野外实地考察成果进行解译精度验证，按照内容和区域，采用专题制图的方式完成。各类型的定义和代码含义见本数据文档。给数据较能全面反映新疆2010年度土地覆被/土地利用现状情况，结合2000、2005年两期新疆土地覆被数据可反映新疆近10年来的土地覆被变化情况，为新疆土地利用研究和国家宏观决策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1. 1:100万新疆土地利用数据； 2. 30米分辨率的2010年度TM数据； 3. 30米分辨率的DEM数据； 4.辅助数据1:100万新疆草地资源数据（矢量），1:100万新疆林地资源数据（矢量）； 5. 2009-2010年实地考察定位获取的照片和记录资料。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在ERDAS、eCognition和ArcGIS等环境下，通过专家分析和遥感自动分类相结合的方法，配合野外实地考察成果进行解译精度验证，按照内容和区域，采用专题制图的方式完成的。主要环节： 基于1:100万新疆土地利用数据作为基本底图，作为制图的框架数据和控制基础； 基于2010年前后1-2年时间范围内的TM影像数据，通过叠加空间格网精度不低于30米的DEM数据，生成正射影像图，利用遥感影像分析软件Ecognition对正射图进行遥感解译，实现不同土地覆被类型的属性划分和制图； 在上述3种数据的基础上，结合人工目视判读，野外实地考察成果，进行全数字成图。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样区尺度的土地覆盖的一级类别总精度&gt;95%，二级类别总精度85%，森林、灌木的二级类别精度分别达到85%，其它单类别的最低精度&gt;65%；每个气候分区的二级类别总精度达到85%；变化检测二级类别总精度大于72%，单类别的最低精度&gt;42%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317.0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吴世新. 2010年新疆1:25万土地覆被数据. 干旱区生态与资源科学数据中心(https://data.dcxjegi.cn), 2025. https://cstr.cn/CSTR:33110.11.ariddc.00383.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