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2010年新疆1:25万土地覆被数据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10.12389/ariddc.00383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33110.11.ariddc.00383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括林地、草地、湿地、耕地、人工表面、其他等6个一级类型和38个二级类型，以1:10万新疆地形图、1:100万新疆土地利用数据、1:100万新疆草地资源数据、1:100万新疆林地资源数据、新疆地区30米分辨率的2010年度TM数据、空间格网精度不低于30米的DEM数据等为数据源，在ERDAS、eCognition和ArcGIS等环境下，通过专家分析和遥感自动分类相结合的方法，配合野外实地考察成果进行解译精度验证，按照内容和区域，采用专题制图的方式完成。各类型的定义和代码含义见本数据文档。给数据较能全面反映新疆2010年度土地覆被/土地利用现状情况，结合2000、2005年两期新疆土地覆被数据可反映新疆近10年来的土地覆被变化情况，为新疆土地利用研究和国家宏观决策提供科学数据支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1. 1:100万新疆土地利用数据； 2. 30米分辨率的2010年度TM数据； 3. 30米分辨率的DEM数据； 4.辅助数据1:100万新疆草地资源数据（矢量），1:100万新疆林地资源数据（矢量）； 5. 2009-2010年实地考察定位获取的照片和记录资料。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在ERDAS、eCognition和ArcGIS等环境下，通过专家分析和遥感自动分类相结合的方法，配合野外实地考察成果进行解译精度验证，按照内容和区域，采用专题制图的方式完成的。主要环节： 基于1:100万新疆土地利用数据作为基本底图，作为制图的框架数据和控制基础； 基于2010年前后1-2年时间范围内的TM影像数据，通过叠加空间格网精度不低于30米的DEM数据，生成正射影像图，利用遥感影像分析软件Ecognition对正射图进行遥感解译，实现不同土地覆被类型的属性划分和制图； 在上述3种数据的基础上，结合人工目视判读，野外实地考察成果，进行全数字成图。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样区尺度的土地覆盖的一级类别总精度&gt;95%，二级类别总精度85%，森林、灌木的二级类别精度分别达到85%，其它单类别的最低精度&gt;65%；每个气候分区的二级类别总精度达到85%；变化检测二级类别总精度大于72%，单类别的最低精度&gt;42%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2013/01/01-2013/12/31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317.0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土地利用,  土地覆被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吴世新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吴世新. 2010年新疆1:25万土地覆被数据. 干旱区生态与资源科学数据中心(https://data.dcxjegi.cn), 2025. https://cstr.cn/CSTR:33110.11.ariddc.00383.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