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里海低地西北部自然变化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changes in the northwest of the Caspian Lowland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合理利用自然财富，必须清楚地认识正在我们眼前发生的景观变化。这些变化既是自然过程的结果，也是人类经济活动的结果。许多自然过程进行得如此缓慢，以至于在平原地区，近几个世纪以来具有实际意义的可能只是气候的世纪性波动及其相关现象。而人类的经济活动则相反，会引起地理环境迅速而深刻的变化。然而，人类对自然影响的许多方面尚未充分阐明，其活动的实际意义常常被低估甚至完全被忽视。 本书试图揭示里海低地西北部粘土质半荒漠地区近两个世纪以来，在人类经济活动影响和湿润程度世纪性波动作用下，植被覆盖和动物界所发生的变化。其中特别关注作为经济活动主要方面的副产物过程，因为它们最常被忽略。书中不涉及各种经济活动的直接结果，也不涉及促成里海低地西北部景观人为特征出现的经济关系特点。这一问题虽然极具研究价值，但已远远超出了生物学研究的范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 季涅斯曼（Л. Г. Динесман） 出版社：Издательство Академии наук СССР 出版地：莫斯科 出版年：1960年 页数：158页 语种：俄文 馆藏条形码：XJLAS RU 70001793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31219.2-2014图书馆馆藏资源数字化加工规范》，完全遵照《里海低地西北部自然变化》的数据信息，未改动删减。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对收集到的《里海低地西北部自然变化》进行电子化加工处理，按照国家标准《GB/T 31219.2-2014图书馆馆藏资源数字化加工规范》要求，未改动删减《里海低地西北部自然变化》的数据信息，数据质量可靠。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半荒漠,  粘土质半荒漠, 景观变化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里海低地西北部自然变化. 干旱区生态与资源科学数据中心(https://data.dcxjegi.cn), 2026. https://cstr.cn/CSTR:33110.11.ariddc.01957.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