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里海低地西北部自然变化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合理利用自然财富，必须清楚地认识正在我们眼前发生的景观变化。这些变化既是自然过程的结果，也是人类经济活动的结果。许多自然过程进行得如此缓慢，以至于在平原地区，近几个世纪以来具有实际意义的可能只是气候的世纪性波动及其相关现象。而人类的经济活动则相反，会引起地理环境迅速而深刻的变化。然而，人类对自然影响的许多方面尚未充分阐明，其活动的实际意义常常被低估甚至完全被忽视。 本书试图揭示里海低地西北部粘土质半荒漠地区近两个世纪以来，在人类经济活动影响和湿润程度世纪性波动作用下，植被覆盖和动物界所发生的变化。其中特别关注作为经济活动主要方面的副产物过程，因为它们最常被忽略。书中不涉及各种经济活动的直接结果，也不涉及促成里海低地西北部景观人为特征出现的经济关系特点。这一问题虽然极具研究价值，但已远远超出了生物学研究的范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 季涅斯曼（Л. Г. Динесман） 出版社：Издательство Академии наук СССР 出版地：莫斯科 出版年：1960年 页数：158页 语种：俄文 馆藏条形码：XJLAS RU 70001793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31219.2-2014图书馆馆藏资源数字化加工规范》，完全遵照《里海低地西北部自然变化》的数据信息，未改动删减。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对收集到的《里海低地西北部自然变化》进行电子化加工处理，按照国家标准《GB/T 31219.2-2014图书馆馆藏资源数字化加工规范》要求，未改动删减《里海低地西北部自然变化》的数据信息，数据质量可靠。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半荒漠,  粘土质半荒漠, 景观变化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里海低地西北部自然变化. 干旱区生态与资源科学数据中心(https://data.dcxjegi.cn), 2026. https://cstr.cn/CSTR:33110.11.ariddc.01957.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