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1999年新疆1：100万荒漠化状况数据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10.12389/ariddc.00373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33110.11.ariddc.00373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利用80年代中期、90年代初期TM、MSS卫片，1999年TM、SPOT卫片等不同尺度遥感影像，以及研究所积累的各种电子地理数据文件，构建新疆生态本底数据库，丰富、直观的反映了新疆的20世纪90年代荒漠化基本自然资源情况，数据覆盖全疆区域，比例尺1：100万，采用兰勃特等面积圆锥投影方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新疆林业厅1999年制作的新疆1：100万荒漠分布图，80年代中期、90年代初期TM、MSS卫片，1999年TM、SPOT卫片。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结合新疆荒漠分布图（1：100万）对TM等遥感数据进行解译。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扫描矢量化、重新编码。新疆草地资源数据库编码设计是建立在1：100万新疆荒漠化图基础上，采用该图荒漠化分类系统，根据该图图斑注记，结合编码原则来设计，采用11位数字码。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mdb格式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1：100万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兰伯特投影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土地,  荒漠化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1999年新疆1：100万荒漠化状况数据. 干旱区生态与资源科学数据中心(https://data.dcxjegi.cn), 2025. https://cstr.cn/CSTR:33110.11.ariddc.00373.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