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帕米尔高原地区降水和实际蒸散发1980-2019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and actual evapotranspiration in the Pamirs 1980-2019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本数据包含年降水量（Pr）、年实际蒸散发（AET）。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数据源于TerraClimate数据集（https://www.climatologylab.org/terraclimate.html）。TerraClimate使用气候辅助插值法，将来自 WorldClim 数据集的高空间分辨率气候学常模与来自 CRU Ts4.0 和日本 55 年再分析（JRA55）的较粗空间分辨率但时变的数据相结合。从概念上讲，该程序将 CRU Ts4.0/JRA55 的内插时变异常数据应用于 WorldClim 的高空间分辨率气候数据集，以创建一个涵盖更广泛时间记录的高空间分辨率数据集。JRA55 仅用于太阳辐射和风速，TerraClimate使用水分平衡模型生成月度地表水平衡数据集。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蒸散发, 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1980-2019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帕米尔高原地区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张净净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张净净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张净净. 帕米尔高原地区降水和实际蒸散发1980-2019.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