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Animal ecology and biology in Uzbekistan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collection is dedicated to summarizing the hydrological research results of the Hydrometeorological Science Institute of Ukraine since its establishment 25 years ago. The content describes the research results on water resources, river water balance calculation, flood runoff movement, etc. in Ukraine and Moldova. The results of calculation of maximum river runoff, investigation and research on dangerous hydrological phenomena in mountainous areas of the Republic, and research on debris flow and karst phenomena in Ukraine are summarized. At the same time, the current situation and scientific basis of prediction methods for hydrological conditions of rivers in Ukraine are described. This collection of books has reference value for hydrographic experts, staff of scientific research, design and water conservancy organizations, graduate students and college students in related majors.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А.В. Sherbaka (А.В.Щербака） Publishing House: УкрНИГ о в и н а н ы Published: Moscow Publication year: 1978 Pages: 128 pages Language: Russian Classification No.: У п б 551.16:556.5 Collection barcode: XJLAS RU 70026174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Resources", fully in compliance with the "Proceedings of the Ukraine Institute of Hydrometeorological Sciences" The data information in Series 166: Research, Calculation and Prediction of River Runoff has not been changed and deleted.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"Proceedings of the Institute of Hydrometeorological Sciences of Ukraine, Series 166: Research, Calculation and Prediction of River Runoff" were electronically processed and processed. In accordance with the requirements of the national standard "GB/T 31219.2-2014 Specifications for Digital Processing of Library Collection Resources", the data information of "Proceedings of the Institute of Hydrometeorological Sciences of Ukraine, Series 166: Research, Calculation and Prediction of River Runoff"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Theme:Hydrological regime, Water resources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Place:Ukraine Soviet Socialist Republic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Animal ecology and biology in Uzbekistan. Arid Land Ecology and Resources Science Data Center(https://data.dcxjegi.cn), 2026. https://cstr.cn/CSTR:33110.11.ariddc.02216.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