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中亚水文气象科学研究所论文集第2辑（总第17辑）气象学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Proceedings of the Central Asian Institute of Hydrometeorological Sciences, Series 2 (Series 17) Meteorology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10.12389/ariddc.02336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33110.11.ariddc.02336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本论文集收录了有关自由大气辐射状况、总辐射与光谱辐射通量、饥饿草原热量平衡、地方性强风及其动力学特征的研究论文。 本论文集面向辐射测量学、气候学、高空气象学领域的专家，并可作为开垦新土地工作中的参考资料。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作者（编委会）：Б. А. 艾森施塔特（Б. А. Айзенштат） 出版社：Гидрометеорологическое издательство 出版地：列宁格勒 出版年：1959年 页数：266页 语种：俄文 馆藏条形码：XJLAS RU 70021362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31219.2-2014图书馆馆藏资源数字化加工规范》，完全遵照《哈中亚水文气象科学研究所论文集第2辑（总第17辑）气象学》的数据信息，未改动删减。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对收集到的《中亚水文气象科学研究所论文集第2辑（总第17辑）气象学》进行电子化加工处理，按照国家标准《GB/T 31219.2-2014图书馆馆藏资源数字化加工规范》要求，未改动删减《中亚水文气象科学研究所论文集第2辑（总第17辑）气象学》的数据信息，数据质量可靠。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109.6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大气环流, 风系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动力气象学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中亚水文气象科学研究所论文集第2辑（总第17辑）气象学. 干旱区生态与资源科学数据中心(https://data.dcxjegi.cn), 2026. https://cstr.cn/CSTR:33110.11.ariddc.02336.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