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2000年新疆1:25万土地覆被数据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10.12389/ariddc.00379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33110.11.ariddc.00379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土地利用/土地覆被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包括林地、草地、湿地、耕地、人工表面、其他等6个一级类型和38个二级类型，以1:10万新疆地形图、1:100万新疆土地利用数据、1:100万新疆草地资源数据、1:100万新疆林地资源数据、新疆地区30米分辨率的2000年度TM数据、空间格网精度不低于30米的DEM数据等为数据源，在ERDAS、eCognition和ArcGIS等环境下，通过专家分析和遥感自动分类相结合的方法，配合野外实地考察成果进行解译精度验证，按照内容和区域，采用专题制图的方式完成。各类型的定义和代码含义见本数据文档。给数据较能全面反映新疆2000年度土地覆被/土地利用现状情况，结合2005、2010年两期新疆土地覆被数据可反映新疆近10年来的土地覆被变化情况，为新疆土地利用研究和国家宏观决策提供科学数据支持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1. 1:100万新疆土地利用数据； 2. 30米分辨率的2000年度TM数据； 3. 30米分辨率的DEM数据； 4.辅助数据1:100万新疆草地资源数据（矢量），1:100万新疆林地资源数据（矢量）； 5. 1999-2000年实地考察定位获取的照片和记录资料。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在ERDAS、eCognition和ArcGIS等环境下，通过专家分析和遥感自动分类相结合的方法，配合野外实地考察成果进行解译精度验证，按照内容和区域，采用专题制图的方式完成的。主要环节： 基于1:100万新疆土地利用数据作为基本底图，作为制图的框架数据和控制基础； 基于2000年前后1-2年时间范围内的TM影像数据，通过叠加空间格网精度不低于30米的DEM数据，生成正射影像图，利用遥感影像分析软件Ecognition对正射图进行遥感解译，实现不同土地覆被类型的属性划分和制图； 在上述3种数据的基础上，结合人工目视判读，野外实地考察成果，进行全数字成图。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样区尺度的土地覆盖的一级类别总精度&gt;95%，二级类别总精度85%，森林、灌木的二级类别精度分别达到85%，其它单类别的最低精度&gt;65%；每个气候分区的二级类别总精度达到85%；变化检测二级类别总精度大于72%，单类别的最低精度&gt;42%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2013/01/01-2013/12/31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312.2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shp格式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土地覆被, 土地利用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吴世新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吴世新. 2000年新疆1:25万土地覆被数据. 干旱区生态与资源科学数据中心(https://data.dcxjegi.cn), 2025. https://cstr.cn/CSTR:33110.11.ariddc.00379.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