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2000年新疆1:25万土地覆被数据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10.12389/ariddc.00379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33110.11.ariddc.00379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林地、草地、湿地、耕地、人工表面、其他等6个一级类型和38个二级类型，以1:10万新疆地形图、1:100万新疆土地利用数据、1:100万新疆草地资源数据、1:100万新疆林地资源数据、新疆地区30米分辨率的2000年度TM数据、空间格网精度不低于30米的DEM数据等为数据源，在ERDAS、eCognition和ArcGIS等环境下，通过专家分析和遥感自动分类相结合的方法，配合野外实地考察成果进行解译精度验证，按照内容和区域，采用专题制图的方式完成。各类型的定义和代码含义见本数据文档。给数据较能全面反映新疆2000年度土地覆被/土地利用现状情况，结合2005、2010年两期新疆土地覆被数据可反映新疆近10年来的土地覆被变化情况，为新疆土地利用研究和国家宏观决策提供科学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1. 1:100万新疆土地利用数据； 2. 30米分辨率的2000年度TM数据； 3. 30米分辨率的DEM数据； 4.辅助数据1:100万新疆草地资源数据（矢量），1:100万新疆林地资源数据（矢量）； 5. 1999-2000年实地考察定位获取的照片和记录资料。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在ERDAS、eCognition和ArcGIS等环境下，通过专家分析和遥感自动分类相结合的方法，配合野外实地考察成果进行解译精度验证，按照内容和区域，采用专题制图的方式完成的。主要环节： 基于1:100万新疆土地利用数据作为基本底图，作为制图的框架数据和控制基础； 基于2000年前后1-2年时间范围内的TM影像数据，通过叠加空间格网精度不低于30米的DEM数据，生成正射影像图，利用遥感影像分析软件Ecognition对正射图进行遥感解译，实现不同土地覆被类型的属性划分和制图； 在上述3种数据的基础上，结合人工目视判读，野外实地考察成果，进行全数字成图。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样区尺度的土地覆盖的一级类别总精度&gt;95%，二级类别总精度85%，森林、灌木的二级类别精度分别达到85%，其它单类别的最低精度&gt;65%；每个气候分区的二级类别总精度达到85%；变化检测二级类别总精度大于72%，单类别的最低精度&gt;42%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 土地覆被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吴世新. 2000年新疆1:25万土地覆被数据. 干旱区生态与资源科学数据中心(https://data.dcxjegi.cn), 2025. https://cstr.cn/CSTR:33110.11.ariddc.00379.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