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11-2018年咸海水文要素观测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11年至2018年咸海 、北海、西海、南海的年平均水位、年平均水面面积（千平方公里）、年平均体积（立方千米）3个水文特征值，以及各时间段咸海水位、水面积、水体体积动态图，图中按照不同时间段分北咸海和总咸海，总咸海又分为西部和东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 Project INTAS-0511 REBASOWS / SIC ICWC（Scientific-Information Center Interstate Commission for Water Coordination of Central Asia (SIC ICWC)中亚国家间水资源协调委员会科学信息中心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3.4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位,  水面积,  水文, 咸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1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11-2018年咸海水文要素观测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