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沙漠植物的生态解剖学 第二卷：半灌木与亚半灌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部分。第一部分聚焦中亚干旱区地理气候，以藜科、豆科等 9 科 19 种半灌木 / 小半灌木（如麻黄、沙拐枣）为对象，分析其在极端环境下的生存基础，揭示地形（山地、荒漠）与气候（干旱少雨）对植被分布的影响。 第二部分重点解析了旱生结构：叶片具角质层增厚、气孔下陷（如猪毛菜属泡状毛）；根系主根深扎、侧根扩展（如沙冬青属根冠比增大）；茎部木质化高、维管束密集（如麻黄属厚壁细胞），部分物种茎含储水组织（如假木贼属），通过显微结构对比不同类群适应性差异。第三部分阐释了抗旱策略：叶片缩小表面积、形成复表皮减少蒸腾；根系深广分布提升吸水效率；茎部厚壁细胞增强支撑，储水细胞应对缺水。典型如驼绒藜属叶片肉质化、黄芪属根系储能，体现形态结构与干旱环境的协同进化。第四部分评估了物种固沙（沙蒿）、药用（甘草）等价值，针对栖息地碎片化问题，提出栖息地修复、监测网络构建及抗逆品种筛选策略，为中亚荒漠生态保护与农业可持续发展提供解剖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Бутник, О. А. Ашурметов, Р. Н. Нигманова, С. А. Пайзиева 出版社：乌兹别克斯坦科学院FAN出版社 出版地：乌兹别克斯坦—塔什干 出版年：2001年 页数：252页 语种：俄语 ISBN号： 分类号：UDC 581 (4+5+8), 582.66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沙漠植物的生态解剖学 第二卷：半灌木与亚半灌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中亚沙漠植物的生态解剖学 第二卷：半灌木与亚半灌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沙漠植物的生态解剖学 第二卷：半灌木与亚半灌木. 干旱区生态与资源科学数据中心(https://data.dcxjegi.cn), 2025. https://cstr.cn/CSTR:33110.11.ariddc.00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