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2019年乌兹克克斯坦Nukus灌区农作物种植结构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2019年乌兹别克斯坦Nukus灌区农作物种植结构10M分辨率矢量数据。数据包含水域、玉米、水稻、小麦、棉花、（园地、葡萄、苹果、苜蓿、桃树）、（林地、桑树）、（弃耕地、休耕地、退耕地、荒地）、（大棚、蔬菜、苜蓿、啤酒花）、盐碱地、荒漠、草地等12大种植结构类别，种植面积信息，以shp矢量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是在GEE平台上利用随机森林算法并结合采集的样本点数据计算得出的，为了区分方便，在计算过程中我们将每一种相似作物类型用一个阿拉伯数字表示，计算完的.tif结果再用分区统计的方式链接到提取的耕地上，在这个过程中，我们把表示作物类型的字段保留下来，即max字段，每个阿拉伯数字对应的作物类型如下表所示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Kappa系数80%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2019/01/08-2020/01/07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乌兹别克斯坦Nukus灌区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种植结构,  陆地表层遥感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Nukus灌区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43.72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58.41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60.59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2019年乌兹克克斯坦Nukus灌区农作物种植结构. 干旱区生态与资源科学数据中心(https://data.dcxjegi.cn), 2025. https://cstr.cn/CSTR:33110.11.ariddc.00282.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