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2002年、2004年塔里木河干流上游流域1：10万土壤盐渍化数据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10.12389/ariddc.00377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33110.11.ariddc.00377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本数据集包含2002年、2004年两期塔里木河干流上游流域(N 40.3°，E 81.5°;N 41.4°，E 84.0°)盐渍化矢量数据。数据以mdb数据库格式存储, 比例尺1：10万，投影方式采用GCS_Xian_1980。该数据反映塔里木河上流因常年灌溉、洪水漫溢等原因导致的土壤盐碱化分布情况。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2002年和2004年7月下旬TM遥感影像数据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按照土壤盐渍化类型编码对两期（2002,2004）TM遥感影像数据进行预处理和人工解译分类，并加以实地验证和高精度验证所得的结果。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所得到的解译结果，经过实地验证和高精度验证，误差经过多次修正，验证率高达90%。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塔里木河干流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727.8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.mdb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1：10万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西安1980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土壤盐渍化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塔里木河干流上游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李锦, 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2002年、2004年塔里木河干流上游流域1：10万土壤盐渍化数据. 干旱区生态与资源科学数据中心(https://data.dcxjegi.cn), 2025. https://cstr.cn/CSTR:33110.11.ariddc.00377.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