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湖泊、森林、湿地、耕地、不透水层、冰雪、裸地、草地和其他等9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哨兵2号光学卫星数据为数据源，按照耕地、沙漠、冰川、湖泊、林地、草地、不透水层，裸地并按照区域及顺序，将全疆分为不同区域和不同类型图层。对每类要素，在全疆范围内选择样本，建立小样本库，通过样本增强、深度学习模型选择，得到全疆要素提取结果。按照该方法对每一地类要素进行深度学习提取，并将这一地类作为下一地类的掩膜，直至完成要求的所有地类。最后对信息提取的结果进行合并，得到完整的LUCC分类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a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2年）. 干旱区生态与资源科学数据中心(https://data.dcxjegi.cn), 2025. https://cstr.cn/CSTR:33110.11.XIEG.xjsedata.2022.000001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