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年中亚五国及新疆范围265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1970年中亚五国及新疆范围的土地利用情况，采用《中国科学院土地利用分类系统》共分耕地，林地，草地，水域，城乡、工矿、居民用地，未利用土地等18个类别。数据以GRID格式存储，空间投影使用WGS_84_Albers直角坐标系，单位米，像元分辨率265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970年代Landsat MSS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通过辐射校正消除传感器噪声和大气干扰，利用几何校正配准影像；随后基于多光谱波段（如近红外与红光比值）提取植被指数等光谱特征，结合监督分类（最大似然法）或非监督聚类算法（如K-means）对地物进行粗粒度分类，生成耕地、森林、水体等一级土地利用类型；最后通过滤波消除孤立噪声像元，并基于目视解译和局部实地数据验证分类精度，输出土地利用结果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197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70年中亚五国及新疆范围265米土地利用数据. 干旱区生态与资源科学数据中心(https://data.dcxjegi.cn), 2024. https://cstr.cn/CSTR:33110.11.ariddc.00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