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塔里木河流域未来情景土地结构预测数据2050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 structure data of Tarim River Basin 1992-2020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本数据集包含在未来四种情景（Natural Development Scenario、Cropland Conservation Scenario、Ecological Protection Scenario、Urban Expansion Scenario）下塔里木河流域2050年土地结构预测数据。数据文件是tif格式，文件名分别为（2050_Simulation_1Natural Development Scenario.tif、2050_Simulation_2Cropland Conservation Scenario.tif、2050_Simulation_3Ecological Protection Scenario.tif、2050_Simulation_4Urban Expansion Scenario.tif），分别对应四种未来情景，均为单波段，数据值1-6对应6种土地类型： 1-Cropland耕地，2-Grassland草地，3-Woodland林地,，4-Built-up land建筑用地，5-Water bodies水体，6-Barren land未利用地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基于PLUS 模型通过输入社会经济、气候与环境16个因子作为预测变量模拟了未来四种情景模式下塔里木河流域2050年LUCC分布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土地结构,  模型模拟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侯一峰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侯一峰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陈亚宁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侯一峰. 塔里木河流域未来情景土地结构预测数据2050. 干旱区生态与资源科学数据中心(https://data.dcxjegi.cn), 2026. https://www.doi.org/10.12389/ariddc.01487.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