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塔里木河流域未来情景土地结构预测数据2050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structure data of Tarim River Basin 1992-2020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本数据集包含在未来四种情景（Natural Development Scenario、Cropland Conservation Scenario、Ecological Protection Scenario、Urban Expansion Scenario）下塔里木河流域2050年土地结构预测数据。数据文件是tif格式，文件名分别为（2050_Simulation_1Natural Development Scenario.tif、2050_Simulation_2Cropland Conservation Scenario.tif、2050_Simulation_3Ecological Protection Scenario.tif、2050_Simulation_4Urban Expansion Scenario.tif），分别对应四种未来情景，均为单波段，数据值1-6对应6种土地类型： 1-Cropland耕地，2-Grassland草地，3-Woodland林地,，4-Built-up land建筑用地，5-Water bodies水体，6-Barren land未利用地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基于PLUS 模型通过输入社会经济、气候与环境16个因子作为预测变量模拟了未来四种情景模式下塔里木河流域2050年LUCC分布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模型模拟, 土地结构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侯一峰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侯一峰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陈亚宁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侯一峰. 塔里木河流域未来情景土地结构预测数据2050. 干旱区生态与资源科学数据中心(https://data.dcxjegi.cn), 2026. https://www.doi.org/10.12389/ariddc.01487.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