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中亚荒漠植物生态解剖学（第2卷）：半灌木与半灌木丛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为乌兹别克斯坦科学院植物学研究中心的重要成果，系统研究了中亚荒漠区19种半灌木与半灌木丛（涉及藜科、豆科、败酱科等6科）的生态解剖学特征。通过分析其营养器官的形态发生与解剖结构，揭示了这类过渡性生物形态（介于灌木与草本之间）对干旱环境的适应机制，包括枝条枯落模式、木质化程度、维管束分布等关键性状。书中提出基于个体发育阶段的进化水平评估框架，为荒漠牧场植物资源利用（如饲用价值开发）提供理论基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为乌兹别克斯坦科学院植物学研究中心的重要成果，系统研究了中亚荒漠区19种半灌木与半灌木丛（涉及藜科、豆科、败酱科等6科）的生态解剖学特征。通过分析其营养器官的形态发生与解剖结构，揭示了这类过渡性生物形态（介于灌木与草本之间）对干旱环境的适应机制，包括枝条枯落模式、木质化程度、维管束分布等关键性状。书中提出基于个体发育阶段的进化水平评估框架，为荒漠牧场植物资源利用（如饲用价值开发）提供理论基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31219.2-2014图书馆馆藏资源数字化加工规范》，完全遵照《中亚荒漠植物生态解剖学（第2卷）：半灌木与半灌木丛》的数据信息，未改动删减。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对收集到的《中亚荒漠植物生态解剖学（第2卷）：半灌木与半灌木丛》进行电子化加工处理，按照国家标准《GB/T 31219.2-2014图书馆馆藏资源数字化加工规范》要求，未改动删减《中亚荒漠植物生态解剖学（第2卷）：半灌木与半灌木丛》的数据信息，数据质量可靠。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荒漠植物,  植物解剖学,  生态形态学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中亚荒漠植物生态解剖学（第2卷）：半灌木与半灌木丛. 干旱区生态与资源科学数据中心(https://data.dcxjegi.cn), 2025. https://cstr.cn/CSTR:33110.11.ariddc.01016.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