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中亚荒漠植物生态解剖学（第2卷）：半灌木与半灌木丛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为乌兹别克斯坦科学院植物学研究中心的重要成果，系统研究了中亚荒漠区19种半灌木与半灌木丛（涉及藜科、豆科、败酱科等6科）的生态解剖学特征。通过分析其营养器官的形态发生与解剖结构，揭示了这类过渡性生物形态（介于灌木与草本之间）对干旱环境的适应机制，包括枝条枯落模式、木质化程度、维管束分布等关键性状。书中提出基于个体发育阶段的进化水平评估框架，为荒漠牧场植物资源利用（如饲用价值开发）提供理论基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31219.2-2014图书馆馆藏资源数字化加工规范》，完全遵照《中亚荒漠植物生态解剖学（第2卷）：半灌木与半灌木丛》的数据信息，未改动删减。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对收集到的《中亚荒漠植物生态解剖学（第2卷）：半灌木与半灌木丛》进行电子化加工处理，按照国家标准《GB/T 31219.2-2014图书馆馆藏资源数字化加工规范》要求，未改动删减《中亚荒漠植物生态解剖学（第2卷）：半灌木与半灌木丛》的数据信息，数据质量可靠。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 植物解剖学,  生态形态学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中亚荒漠植物生态解剖学（第2卷）：半灌木与半灌木丛. 干旱区生态与资源科学数据中心(https://data.dcxjegi.cn), 2025. https://cstr.cn/CSTR:33110.11.ariddc.01016.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