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塔吉克斯坦1950–2023年雪旱发生频率及类型化派生格网数据集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10.12389/ariddc.01496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本数据集以欧洲中期天气预报中心（ECMWF）ERA5-Land陆面再分析资料为基础数据源（数据访问地址：https://cds.climate.copernicus.eu/datasets/reanalysis-era5-land）。ERA5-Land原生空间分辨率为0.1°×0.1°（约9 km）、时间分辨率为1 h。提取1950–2023年覆盖塔吉克斯坦及周边格网的资料，核心计算窗口为1950年10月1日至2024年9月30日，使用雪水当量、总降水量和降雪量构建雪旱产品。研究区约为36°40′–41°05′N、67°31′–75°14′E；代表性NetCDF文件实际存储格网范围为35.0°–42.0°N、66.0°–76.0°E，采用规则经纬度格网。研究区矢量文件采用WGS 1984地理坐标系。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加工包括六个阶段：（1）源数据整理与日尺度聚合：按时间顺序整理ERA5-Land小时资料，完成变量、时间坐标和空间格网的一致化处理，将雪水当量转换为日最大值，将总降水量和降雪量聚合为日累计量。（2）水文年统计：以每年10月1日至次年9月30日为一个水文年，计算水文年最大雪水当量、累计总降水量、累计降雪量及降雪比例。（3）气候参考场构建：采用1950–1979年水文年数据建立各格点最大雪水当量、累计总降水量和降雪比例的气候参考场。（4）总雪旱判识：当某格点某水文年的最大雪水当量低于对应气候参考值时，判定为总雪旱事件。（5）类型化派生：依据累计总降水量和降雪比例相对参考状态的变化，将总雪旱进一步划分为暖雪旱、干雪旱和暖干复合型雪旱。（6）频率计算与产品组织：在塔吉克斯坦研究区1469个有效格点上，生成1950–2023年74个水文年的总雪旱及三类亚型逐年事件格网、逐年区域发生频率和长期格网发生频率，并配套输出气候参考场、水文年最大雪水当量中间产品及研究区边界文件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数据质量控制覆盖时间完整性、空间维度一致性、变量规范性、复算一致性和水文合理性。逐日源数据按水文年检查均为365或366 d，无缺失日期和重复日期；主要逐年格网产品维度统一为74×101×71，空间分辨率为0.1°，时间轴覆盖1950–2023年。独立复算结果显示，水文年最大雪水当量与发布中间产品的最大绝对差为0，1950–1979年参考场最大差异为0.000488 mm，复算事件格网与发布事件格网在逐年、逐格点尺度上的差异数为0。基于5个GRDC水文站的径流过程对比表明，多个站点在雪旱年份呈现冷季径流增加、暖季径流减少的季节性响应，为数据集的水文一致性提供间接验证。使用时应注意统一雪水当量单位：部分代表性SWEmax文件属性记录为m，而基准场及相关统计采用mm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1950/01/01-2024/12/31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https://cds.climate.copernicus.eu/datasets/reanalysis-era5-land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1.6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*.nc, *.tif, *.shp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0.1度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雪旱发生频率及类型化派生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气候学 , 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1950-2023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王保得,  李玉朋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王保得  ,  李玉朋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李玉朋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2024E02030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新疆生态与环境科学数据平台建设与应用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2025YFE0211400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中亚-南亚寒旱区科学数据国际合作中心构建与合作研究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王保得,李玉朋. 塔吉克斯坦1950–2023年雪旱发生频率及类型化派生格网数据集. 干旱区生态与资源科学数据中心(https://data.dcxjegi.cn), 2026. https://www.doi.org/10.12389/ariddc.01496.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