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2010-2018年咸海流域净初级生产力（NPP）月均值数据集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2010至2018年连续9年的咸海流域范围内的净初级生产力数据。空间分辨率为10km×10km，时间分辨率为月，每个文件有12个波段，分别对应当年每个月份的NPP结果，投影坐标为GCS_WGS_1984。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土地利用数据：http://maps.elie.ucl.ac.be/CCI/viewer/index.php 温度、降雨量、太阳辐射数据：https://worldclim.org/ 蒸散发和植被指数：https://ladsweb.modaps.eosdis.nasa.gov/search/order/3/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基于土地利用、温度、植被指数、降雨量、太阳辐射和蒸散发等数据，利用CASA模型计算反演得到NPP。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空间分辨率为10km×10km，时间分辨率为月，每个文件有12个波段，分别对应当年每个月份的NPP结果，投影坐标为GCS_WGS_1984。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净初级生产力, 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2010-2018年咸海流域净初级生产力（NPP）月均值数据集. 干旱区生态与资源科学数据中心(https://data.dcxjegi.cn), 2025. https://cstr.cn/CSTR:33110.11.ariddc.00433.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