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2010-2018年咸海流域净初级生产力（NPP）月均值数据集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2010至2018年连续9年的咸海流域范围内的净初级生产力数据。空间分辨率为10km×10km，时间分辨率为月，每个文件有12个波段，分别对应当年每个月份的NPP结果，投影坐标为GCS_WGS_1984。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土地利用数据：http://maps.elie.ucl.ac.be/CCI/viewer/index.php 温度、降雨量、太阳辐射数据：https://worldclim.org/ 蒸散发和植被指数：https://ladsweb.modaps.eosdis.nasa.gov/search/order/3/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基于土地利用、温度、植被指数、降雨量、太阳辐射和蒸散发等数据，利用CASA模型计算反演得到NPP。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空间分辨率为10km×10km，时间分辨率为月，每个文件有12个波段，分别对应当年每个月份的NPP结果，投影坐标为GCS_WGS_1984。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净初级生产力, 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陈朝亮,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刘铁,陈朝亮,钱静. 2010-2018年咸海流域净初级生产力（NPP）月均值数据集. 干旱区生态与资源科学数据中心(https://data.dcxjegi.cn), 2025. https://cstr.cn/CSTR:33110.11.ariddc.00433.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