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SSA法填补后的GRACE数据产品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GRACE data products after SSA method filling</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本数据集是GRACE/GRACE-FO RL06 Mascon Solutions数据产品，具体包括：JPL-M、CSR-M、GSFC-M。本数据是SSA法填补后的数据，格式为Geotiff格式，空间分辨率为0.5°。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使用Singular Spectrum Analysis (SSA)法弥补GRACE与GRACE-FO RL06 Mascon Solutions数据产品（JPL-M、CSR-M、GSFC-M）中间一年多的数据间断及各自数据之间存在的个别月份的缺失数据，为中蒙阿尔泰区域长期的陆地水储量变化分析提供了完整的时间序列，并将CSR产品重采样至0.5°。</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GRACE产品,  陆地水储量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中蒙阿尔泰区域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闫英杰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闫英杰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周宏飞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闫英杰. SSA法填补后的GRACE数据产品.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