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新疆1:100万植被指数数据产品（2000-2013年）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-2013年新疆范围的MODIS的植被指数13A2分幅数据为数据源，利用ENVI软件平台，进行数据拼接、投影转换、边界裁切等影像处理，生成2000-2013年新疆地区植被指数数据，数据分辩率为1KM，16天合成，该数据可为研究新疆地区生态环境变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a) 2000年-2013年MODIS的植被指数13A2分幅数据 b) 新疆分县行政区界线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数据拼接，选取新疆地区范围内的2000-2013年MODIS的植被指数13A2分幅数据 2. 投影转换，投影转换为WGS84投影 3. 边界裁切，以新疆分县行政区界线合并生成新疆地区边界矢量文件，用于裁切MODIS数据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新疆1:100万植被指数数据产品（2000-2013年）. 干旱区生态与资源科学数据中心(https://data.dcxjegi.cn), 2025. https://cstr.cn/CSTR:33110.11.ariddc.00643.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