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新疆1:100万植被指数数据产品（2000-2013年）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10.12389/ariddc.00643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-2013年新疆范围的MODIS的植被指数13A2分幅数据为数据源，利用ENVI软件平台，进行数据拼接、投影转换、边界裁切等影像处理，生成2000-2013年新疆地区植被指数数据，数据分辩率为1KM，16天合成，该数据可为研究新疆地区生态环境变化提供科学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a) 2000年-2013年MODIS的植被指数13A2分幅数据 b) 新疆分县行政区界线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数据拼接，选取新疆地区范围内的2000-2013年MODIS的植被指数13A2分幅数据 2. 投影转换，投影转换为WGS84投影 3. 边界裁切，以新疆分县行政区界线合并生成新疆地区边界矢量文件，用于裁切MODIS数据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植被指数,  NDVI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新疆1:100万植被指数数据产品（2000-2013年）. 干旱区生态与资源科学数据中心(https://data.dcxjegi.cn), 2025. https://cstr.cn/CSTR:33110.11.ariddc.00643.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