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EVI植被指数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2000年年平均和2010年4月1日至9月31日每16天平均增强植被指数（EVI）数据，数据分辨率250米，反映了该地区地表植被覆盖状况，相对于NDVI（归一化植被指数），EVI减少了背景和大气噪音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2000、2010年的MODIS13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利用MOD13A2数据，经过拼接、剪裁、投影变换等流程，分别获得中亚地区2000年和2010年4月1日至9月31日每16天的植被指数，再计算得到平均植被指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增强植被指数,  EVI,  遥感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塔吉克斯坦,  吉尔吉斯斯坦,  乌兹别克斯坦,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EVI植被指数数据集. 干旱区生态与资源科学数据中心(https://data.dcxjegi.cn), 2024. https://cstr.cn/CSTR:33110.11.ariddc.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