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第八卷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10.12389/ariddc.01010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33110.11.ariddc.01010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分为3个部分。第一部分为植物分类与检索，详细描述了被子植物门、裸子植物门等类群的形态特征，涵盖茄科、玄参科、唇形科等重要科属（如茄属Solanum、婆婆纳属Veronica），提供了分属分种检索表，并附237幅原创插图辅助鉴定。第二部分为生态分布与区系分析，基于 1951-1960年野外调查数据，揭示了植物在荒漠草原、山地森林、盐碱地等不同生态区的分布规律，重点讨论了干旱区特有物种（如盐生植物、旱生草本）的适应性特征及与环境的相互作用。第三部分为经济与应用价值，评估了药用植物（如甘草、麻黄）、食用植物（如野生浆果）和生态保护物种（如濒危草本）的资源状况，提出了珍稀物种保护建议及可持续利用策略。全文整合了分类学、生态学与资源学数据，为中亚植物研究提供了基础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В. Павлов 出版社：哈萨克斯坦科学院出版社 出版地：阿拉木图 出版年：1965年 页数：469页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第八卷》的数据信息，未改动删减。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第八卷》的数据信息，数据质量可靠。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48.1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植物志, 植物分类,  生态分布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第八卷. 干旱区生态与资源科学数据中心(https://data.dcxjegi.cn), 2025. https://cstr.cn/CSTR:33110.11.ariddc.01010.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