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第八卷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部分。第一部分为植物分类与检索，详细描述了被子植物门、裸子植物门等类群的形态特征，涵盖茄科、玄参科、唇形科等重要科属（如茄属Solanum、婆婆纳属Veronica），提供了分属分种检索表，并附237幅原创插图辅助鉴定。第二部分为生态分布与区系分析，基于 1951-1960年野外调查数据，揭示了植物在荒漠草原、山地森林、盐碱地等不同生态区的分布规律，重点讨论了干旱区特有物种（如盐生植物、旱生草本）的适应性特征及与环境的相互作用。第三部分为经济与应用价值，评估了药用植物（如甘草、麻黄）、食用植物（如野生浆果）和生态保护物种（如濒危草本）的资源状况，提出了珍稀物种保护建议及可持续利用策略。全文整合了分类学、生态学与资源学数据，为中亚植物研究提供了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В. Павлов 出版社：哈萨克斯坦科学院出版社 出版地：阿拉木图 出版年：1965年 页数：469页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第八卷》的数据信息，未改动删减。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第八卷》的数据信息，数据质量可靠。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植物志, 植物分类,  生态分布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第八卷. 干旱区生态与资源科学数据中心(https://data.dcxjegi.cn), 2025. https://cstr.cn/CSTR:33110.11.ariddc.01010.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