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2019、2020年咸海流域1km归一化植被指数月均数据集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2019年和2020年咸海流域NDVI月均值数据。提取美国国家航空航天局中分辨率成像光谱仪MOD13A2产品第一波段作为归一化植被指数数据，乘以比例因子0.0001，叠加咸海流域边界数据，裁切后得到咸海流域范围内的NDVI月均值数据。每月一期，一年12期，2019-2020年共24张栅格图像。空间分辨率为1000m×1000m，时间分辨率为1个月，投影坐标为GCS_WGS_1984，每个像元的值为每个月的归一化植被指数的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来源于美国国家航空航天局中分辨率成像光谱仪MOD13A2产品第一波段。Modis影像数据：https://ladsweb.modaps.eosdis.nasa.gov/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提取MOD13A2产品第一波段作为叶面积指数数据，乘以比例因子0.0001。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空间分辨率为1000m×1000m，时间分辨率为1个月，每个像元的值为每个月归一化植被指数的平均值，投影坐标为GCS_WGS_1984。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NDVI, 归一化植被指数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,  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2019、2020年咸海流域1km归一化植被指数月均数据集. 干旱区生态与资源科学数据中心(https://data.dcxjegi.cn), 2025. https://cstr.cn/CSTR:33110.11.ariddc.00313.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