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塔里木河干流植被指数（NDVI）数据（2000-2021）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index (NDVI) data of the main stream of the Tarim River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2000-2021年塔里木河干流归一化植被指数（NDVI）数据产品。时间范围为2000-2021年，空间范围为塔里木河干流，时间分辨率为年，空间分辨率为250米。数据为栅格数据（TIF格式），逐年存储（共22个年份文件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2000-2022年NDVI数据来源于MODIS植被指数产品数据MOD13Q1数据集(https: / / earthdata. nasa. gov /)，空间分辨率250m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从MODIS植被指数产品MOD13Q1数据集（https://earthdata.nasa.gov/）获取NDVI数据（空间分辨率250m）； 裁剪至塔里木河干流范围； 计算生成2000-2021年逐年NDVI栅格数据（TIF格式，空间分辨率250米）。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数据来源于MODIS官方植被指数产品MOD13Q1数据集，数据质量可靠。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243.1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归一化植被指数,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凌红波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焦阿永. 塔里木河干流植被指数（NDVI）数据（2000-2021）.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