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河流径流的波动与变化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本论文集由苏联科学院地理研究所编撰，聚焦河流径流的自然波动与人类活动影响，具体内容包括： 西西伯利亚河流的水量标准与丰枯变化； 北哈萨克斯坦河流的水量波动； 农业活动对河流径流的改变； 南外伏尔加地区径流的自然与人为因子分析； 土壤耕作对径流的影响实验； 淮河（Хуайхэ）流域水利改良对径流的改变。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Ю. 格列尔（С. Ю.Геллер） 出版社：ИздательствоАкадемиинаук СССР 出版地：莫斯科 出版年：1960年 页数：166页 语种：俄文 馆藏条形码：XJLASRU70026193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31219.2-2014图书馆馆藏资源数字化加工规范》，完全遵照《河流径流的波动与变化》的数据信息，未改动删减。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对收集到的《河流径流的波动与变化》进行电子化加工处理，按照国家标准《GB/T 31219.2-2014图书馆馆藏资源数字化加工规范》要求，未改动删减《河流径流的波动与变化》的数据信息，数据质量可靠。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河流径流,  人类活动, 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河流径流的波动与变化. 干旱区生态与资源科学数据中心(https://data.dcxjegi.cn), 2025. https://cstr.cn/CSTR:33110.11.ariddc.01121.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