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河流径流的波动与变化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科学院地理研究所编撰，聚焦河流径流的自然波动与人类活动影响，具体内容包括： 西西伯利亚河流的水量标准与丰枯变化； 北哈萨克斯坦河流的水量波动； 农业活动对河流径流的改变； 南外伏尔加地区径流的自然与人为因子分析； 土壤耕作对径流的影响实验； 淮河（Хуайхэ）流域水利改良对径流的改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Ю. 格列尔（С. Ю.Геллер） 出版社：ИздательствоАкадемиинаук СССР 出版地：莫斯科 出版年：1960年 页数：166页 语种：俄文 馆藏条形码：XJLASRU700261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河流径流的波动与变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河流径流的波动与变化》进行电子化加工处理，按照国家标准《GB/T 31219.2-2014图书馆馆藏资源数字化加工规范》要求，未改动删减《河流径流的波动与变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人类活动,  水文, 河流径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河流径流的波动与变化. 干旱区生态与资源科学数据中心(https://data.dcxjegi.cn), 2025. https://cstr.cn/CSTR:33110.11.ariddc.011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