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河流径流的波动与变化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由苏联科学院地理研究所编撰，聚焦河流径流的自然波动与人类活动影响，具体内容包括： 西西伯利亚河流的水量标准与丰枯变化； 北哈萨克斯坦河流的水量波动； 农业活动对河流径流的改变； 南外伏尔加地区径流的自然与人为因子分析； 土壤耕作对径流的影响实验； 淮河（Хуайхэ）流域水利改良对径流的改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Ю. 格列尔（С. Ю.Геллер） 出版社：ИздательствоАкадемиинаук СССР 出版地：莫斯科 出版年：1960年 页数：166页 语种：俄文 馆藏条形码：XJLASRU7002619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河流径流的波动与变化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河流径流的波动与变化》进行电子化加工处理，按照国家标准《GB/T 31219.2-2014图书馆馆藏资源数字化加工规范》要求，未改动删减《河流径流的波动与变化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人类活动,  水文, 河流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河流径流的波动与变化. 干旱区生态与资源科学数据中心(https://data.dcxjegi.cn), 2025. https://cstr.cn/CSTR:33110.11.ariddc.011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