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新疆10米植被指数数据产品（2021年）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33110.11.XIEG.xjsedata.2022.00000030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经过辐射校正和几何校正的2021年1月至10月哨兵2号光学卫星数据红、近红波段为数据源，通过计算得出的数据。数据为WGS84坐标系，墨卡托投影，精度为10米，以1:25万标准分幅存储，共151分幅，每月一期，共10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采用经过辐射校正和几何校正的2021年1月至10月哨兵2号光学卫星数据红、近红波段为数据源。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采用经过辐射校正和几何校正的2021年1月至10月哨兵2号光学卫星数据红、近红波段为数据源，通过计算公式NDVI=(Nir-Red)/(Nir+Red)计算得出结果。数据为WGS84坐标系，墨卡托投影，精度为10米，以1:25万标准分幅存储，共151分幅，每月一期，共10期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数据生产按照中国国家标准标准号GB/T 41280-2022《卫星遥感影像植被指数产品规范》要求，采用经验模型法，经过辐射校正与几何校正，质量合格。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新疆全域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2.8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.pix格式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墨卡托投影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哨兵卫星,  植被指数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  王伟胜,  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杨辽,王伟胜,方晖. 新疆10米植被指数数据产品（2021年）. 干旱区生态与资源科学数据中心(https://data.dcxjegi.cn), 2025. https://cstr.cn/CSTR:33110.11.XIEG.xjsedata.2022.00000030.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