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第14卷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本专著可分为4部分：第一部分为植物区系与分类研究，报道了哈萨克斯坦中部及北部新发现的特有物种（如Silene ulutavica、Erysimum grubovii），分析其形态特征与地理分布，探讨干旱区植物的适应机制及系统发育关系。第二部分涉及植物生态与植被动态，研究不同海拔带（如天山北麓、卡拉套山脉）的植被组成，包括针叶林、草甸和荒漠植被的群落结构，以及人类活动对植物分布的影响。第三部分为真菌与微生物研究，记录了水生和陆生真菌种类（如Mollisia caespicica、Puccinia graminis），分析其与宿主植物的相互作用及在生态系统中的功能。第四部分涵盖植物资源与保护，评估了药用和经济植物（如甘草、麻黄）的分布现状，提出珍稀物种保护建议，并讨论了气候变化对干旱区植物群落的潜在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И. Ролдугин 出版社：哈萨克苏维埃社会主义共和国科学出版社 出版地：阿拉木图 出版年：1985年 页数：134 页 语种：俄语 分类号：UDC 581.526+582.475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第14卷》的数据信息，未改动删减。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第14卷》的数据信息，数据质量可靠。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第14卷. 干旱区生态与资源科学数据中心(https://data.dcxjegi.cn), 2025. https://cstr.cn/CSTR:33110.11.ariddc.00976.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