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新疆10米植被指数数据产品（2022年）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10.12389/ariddc.01275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33110.11.ariddc.01275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经过辐射校正和几何校正的2022年1月至10月哨兵2号光学卫星数据红、近红波段为数据源，通过计算得出的数据。数据为WGS84坐标系，墨卡托投影，精度为10米，以1:25万标准分幅存储，共151分幅，每月一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采用经过辐射校正和几何校正的2022年1月至10月哨兵2号光学卫星数据红、近红波段为数据源。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采用经过辐射校正和几何校正的2022年1月至10月哨兵2号光学卫星数据红、近红波段为数据源，通过计算公式NDVI=(Nir-Red)/(Nir+Red)计算得出结果。数据为WGS84坐标系，墨卡托投影，精度为10米，以1:25万标准分幅存储，共151分幅，每月一期，共10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数据生产按照中国国家标准标准号GB/T 41280-2022《卫星遥感影像植被指数产品规范》要求，采用经验模型法，经过辐射校正与几何校正，质量合格。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哨兵卫星,  植被指数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王伟胜,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杨辽,王伟胜,方晖. 新疆10米植被指数数据产品（2022年）. 干旱区生态与资源科学数据中心(https://data.dcxjegi.cn), 2025. https://cstr.cn/CSTR:33110.11.ariddc.01275.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