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1950-2018年咸海水体特征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10.12389/ariddc.00395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33110.11.ariddc.00395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1950—2018年咸海的西岸水位（m）、水面面积（km2）、储水量（km3）和盐分（g/L)；1950-2001年阿姆河和锡尔河的矿化度（g/L)和流量（km3），其中两河的流量记录到2017年；1950-2001年咸海湖面降水量（km3）、湖面蒸发量（km3）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主要包括中亚哈萨克斯坦、乌兹别克斯坦和吉尔吉斯斯坦公布的数据（http://www.cawater-info.net/aral/data/tabs_e.htm，网站下载） 和通过国际合作直接从中亚购买统计年鉴、相关专业书籍。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翻译整理后得到数据。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数据来源权威可信度高，翻译整理中没有改变数据内容。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咸海，阿姆河，锡尔河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水位,  面积,  矿化度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1950-2018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咸海,   阿姆河,   锡尔河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吉力力·阿不都外力,  黄粤,  郑新军,  罗毅,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吉力力·阿不都外力,黄粤,郑新军,罗毅,刘铁. 1950-2018年咸海水体特征. 干旱区生态与资源科学数据中心(https://data.dcxjegi.cn), 2025. https://cstr.cn/CSTR:33110.11.ariddc.00395.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