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Effects of irrigation on secondary salinization, chemical composition and dynamics of groundwater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According to the contents of the proceedings of this conference, the book collects the reports of the 1962 Tashkent International Hydrogeology Symposium, and discusses secondary salinization, groundwater dynamics and prevention and control measures caused by irrigation in arid areas. The paper covers irrigation practices and salinization issues in Central Asia, the United States, India, Pakistan, Egypt, Hungary, France and other places. It covers the impact of irrigation on the chemical composition of groundwater, drainage system design, saline soil flushing technology, groundwater prediction methods, etc., reflecting the research progress of the international academic community in this field in the 1960s. It can be used as a reference for scientific researchers and engineering technicians in the fields of hydrogeology, soil improvement and irrigation engineering.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Expand.А. Kovda (.А.Ковда） Published by: 丨 здательс тво «Ко л о с» Published: Moscow Publication year: 1981 Pages: 316 pages Language: Russian Collection barcode: XJLAS RU 70019851 Classification No.: У п б 631.619:631.445.52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Specifications for Digital Processing of Library Collection Resources", and fully complies with the data information of "Impact of Irrigation on Secondary Salinization, Chemical Composition and Dynamics of Groundwater"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"Impact of Irrigation on Secondary Salinization, Chemical Composition and Dynamics of Groundwater" was electronically processed and processed. In accordance with the requirements of the national standard "GB/T 31219.2-2014 Code for Digital Processing of Library Collection Resources", the data information of "Impact of Irrigation on Secondary Salinization, Chemical Composition and Dynamics of Groundwater"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size:174.4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improvement, Groundwater, Geological, Irrigation, Saline soil, Hydrological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Effects of irrigation on secondary salinization, chemical composition and dynamics of groundwater. Arid Land Ecology and Resources Science Data Center(https://data.dcxjegi.cn), 2026. https://cstr.cn/CSTR:33110.11.ariddc.02131.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