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新疆MODIS_1km_16天合成植被指数产品（2000-2010年）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植被指数13A2分幅数据为数据源，数据分辩率为1KM，16天合成，利用ENVI软件平台，进行数据拼接、投影转换、边界裁切等影像处理，生成2000-2010年新疆植被指数数据，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2000年-2010年MODIS的植被指数13A2分幅数据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数据拼接，选取新疆范围内的2000年-2010年MODIS的植被指数13A2分幅数据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新疆MODIS_1km_16天合成植被指数产品（2000-2010年）. 干旱区生态与资源科学数据中心(https://data.dcxjegi.cn), 2025. https://cstr.cn/CSTR:33110.11.ariddc.00559.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