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2019年乌兹克克斯坦Urganch灌区农作物种植结构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2019年乌兹克克斯坦Urganch灌区10M分辨率的种植结构的空间分布。数据包含水域、玉米、水稻、小麦、棉花、（园地、葡萄、苹果、苜蓿、桃树）、（林地、桑树）、（弃耕地、休耕地、退耕地、荒地）、（大棚、蔬菜、苜蓿、啤酒花）、盐碱地、荒漠、草地等12大种植结构类别，种植面积信息，以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是在GEE平台上利用随机森林算法并结合采集的样本点数据计算得出的，为了区分方便，在计算过程中我们将每一种相似作物类型用一个阿拉伯数字表示，计算完的.tif结果再用分区统计的方式链接到提取的耕地上，在这个过程中，我们把表示作物类型的字段保留下来，即max字段，每个阿拉伯数字对应的作物类型如下表所示：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Kappa系数80%。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2019/01/06-2020/01/06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乌兹别克斯坦Urganch灌区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陆地表层遥感,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Urganch灌区,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42.40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61.52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2019年乌兹克克斯坦Urganch灌区农作物种植结构. 干旱区生态与资源科学数据中心(https://data.dcxjegi.cn), 2025. https://cstr.cn/CSTR:33110.11.ariddc.00283.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