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1960年吉尔吉斯斯坦土壤专题图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基于前苏联土壤图的基础上，结合2011年至2015年对吉尔吉斯斯坦野外调查的基础上，通过搜集《吉尔吉斯斯坦土壤》等书籍报告等，分析整理后进行归类处理；利用Arcgis软件对扫描图进行地图配准，分层矢量化，并将基础地理信息和土壤类型分布信息进行数据入库，从而获得矢量化的土壤类型分布图，原图比例尺为1:50万，此处存储的是分辨率3506×2481像素的数字图像，包括土壤类型分布图、土壤PH、土壤含盐量、氮磷钾含量、微量元素含量、各类有机质含量等级分布图等共15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1960年前苏联制作的1:50万的高斯克吕格投影-普尔科夫； 《吉尔吉斯斯坦土壤》 2011年-2015年实地考察数据资料和照片。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(1)地图预处理：首先将收集的土壤类型分布图进行扫描，扫描精度300dpi。 (2)地图配准：将每一幅地图在ArcGIS Desktop9.3.1中加载后，打开地图配准工具Georeferencing，图层投影设置为高斯克吕格投影-普尔科夫1942大地坐标系，然后将所有1°间隔的经线和纬线相交的49个点作为控制点，控制点校正方法采用样条函数差法，配准误差不超过0.5个像元。 (3) 空间数据的录入与编辑：首先新建数据集,在ArcGIS Desktop9.3.1中新建Shapefile文件，包括点文件（行政点、高程点）、线文件（行政界线、公路、河流）、面文件（植被类型）数据集，每个图层文件均设置相应的属性字段。 行政点：类型（Text、Precision：10）、名称（Text、Precision：10）；高程点：高程（Double、Precision：30）；行政界线：长度（Double、Precision：30）；公路:长度（Double、Precision：30）、等级（Text、Precision：10）；河流:长度（Double、Precision：30）、类型（Text、Precision：10）；土壤类型：area（Double、Precision：30）、平差面积（Double、Precision：30）。 对点、线、面数据集进行矢量化，要求对底图放大十倍即比例尺是1:5万的时候进行分层屏幕跟踪数字化，点和线要素都必须对准中心进行跟踪，不能出现毛刺、过和不及等现象。土壤类型面文件也是先屏幕跟踪数字化边界线，然后利用线转面的工具将线转换为土壤类型面。 (4)属性数据的录入与编辑 对行政点和高程点通过底图上对应的注记进行属性录入，对于行政点类型通过百度查找资料来获得。公路和河流的长度利用ArcGIS Desktop9.3.1自带的长度工具进行计算，单位：公里；公路的等级和河流的类型利用谷歌地图查找需要的属性信息进行录入。土壤类型的area是将投影变换为等积投影后利用面积计算工具计算的计算面积，单位：平方公里；平差面积是将计算面积按照总面积19.85万平方公里平差后所得的平差面积，单位：平方公里； 最后输出分辨率3506×2481像素的数字图像。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 该数据是从新疆农业科学院土壤肥料与农业节水研究所承担的《吉尔吉斯斯坦生态环境保护与资源管理综合考查与研究—土壤、土地利用及气象资源专题》收集到的数据，虽然没能得到带有地理信息的矢量数据，但目前的数据像素分辨率很高，信息很丰富，可以再次作为原图进行矢量化，该项目2014年已结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养分含量,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陈署晃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陈曦,陈署晃. 1960年吉尔吉斯斯坦土壤专题图. 干旱区生态与资源科学数据中心(https://data.dcxjegi.cn), 2025. https://cstr.cn/CSTR:33110.11.ariddc.00267.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