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1960年吉尔吉斯斯坦土壤专题图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10.12389/ariddc.00267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基于前苏联土壤图的基础上，结合2011年至2015年对吉尔吉斯斯坦野外调查的基础上，通过搜集《吉尔吉斯斯坦土壤》等书籍报告等，分析整理后进行归类处理；利用Arcgis软件对扫描图进行地图配准，分层矢量化，并将基础地理信息和土壤类型分布信息进行数据入库，从而获得矢量化的土壤类型分布图，原图比例尺为1:50万，此处存储的是分辨率3506×2481像素的数字图像，包括土壤类型分布图、土壤PH、土壤含盐量、氮磷钾含量、微量元素含量、各类有机质含量等级分布图等共15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1960年前苏联制作的1:50万的高斯克吕格投影-普尔科夫； 《吉尔吉斯斯坦土壤》 2011年-2015年实地考察数据资料和照片。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(1)地图预处理：首先将收集的土壤类型分布图进行扫描，扫描精度300dpi。 (2)地图配准：将每一幅地图在ArcGIS Desktop9.3.1中加载后，打开地图配准工具Georeferencing，图层投影设置为高斯克吕格投影-普尔科夫1942大地坐标系，然后将所有1°间隔的经线和纬线相交的49个点作为控制点，控制点校正方法采用样条函数差法，配准误差不超过0.5个像元。 (3) 空间数据的录入与编辑：首先新建数据集,在ArcGIS Desktop9.3.1中新建Shapefile文件，包括点文件（行政点、高程点）、线文件（行政界线、公路、河流）、面文件（植被类型）数据集，每个图层文件均设置相应的属性字段。 行政点：类型（Text、Precision：10）、名称（Text、Precision：10）；高程点：高程（Double、Precision：30）；行政界线：长度（Double、Precision：30）；公路:长度（Double、Precision：30）、等级（Text、Precision：10）；河流:长度（Double、Precision：30）、类型（Text、Precision：10）；土壤类型：area（Double、Precision：30）、平差面积（Double、Precision：30）。 对点、线、面数据集进行矢量化，要求对底图放大十倍即比例尺是1:5万的时候进行分层屏幕跟踪数字化，点和线要素都必须对准中心进行跟踪，不能出现毛刺、过和不及等现象。土壤类型面文件也是先屏幕跟踪数字化边界线，然后利用线转面的工具将线转换为土壤类型面。 (4)属性数据的录入与编辑 对行政点和高程点通过底图上对应的注记进行属性录入，对于行政点类型通过百度查找资料来获得。公路和河流的长度利用ArcGIS Desktop9.3.1自带的长度工具进行计算，单位：公里；公路的等级和河流的类型利用谷歌地图查找需要的属性信息进行录入。土壤类型的area是将投影变换为等积投影后利用面积计算工具计算的计算面积，单位：平方公里；平差面积是将计算面积按照总面积19.85万平方公里平差后所得的平差面积，单位：平方公里； 最后输出分辨率3506×2481像素的数字图像。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所得到的解译结果，经过实地验证和高精度验证，误差经过多次修正。 该数据是从新疆农业科学院土壤肥料与农业节水研究所承担的《吉尔吉斯斯坦生态环境保护与资源管理综合考查与研究—土壤、土地利用及气象资源专题》收集到的数据，虽然没能得到带有地理信息的矢量数据，但目前的数据像素分辨率很高，信息很丰富，可以再次作为原图进行矢量化，该项目2014年已结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1960/01/01-1960/12/31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养分含量,  专题图</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陈署晃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陈曦,陈署晃. 1960年吉尔吉斯斯坦土壤专题图. 干旱区生态与资源科学数据中心(https://data.dcxjegi.cn), 2025. https://cstr.cn/CSTR:33110.11.ariddc.00267.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