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第四纪沉积层孔隙水贮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第四纪沉积层孔隙水贮量与动态贮水量两类核心指标。第四纪沉积层孔隙水贮量包含楚—塔拉斯、伊塞克湖斯基、纳伦斯基、阿克奥—阿尔贫斯基等9个水文地质区和24个自流水流域。动态贮水量包含楚河、塔拉斯河、伊塞克湖等27个主要地下水流域，。两类指标共同反映了孔隙水资源的空间分布特征，高值区多集中在大型河流流域及盆地，而山区及边缘地带贮量相对有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孔隙水贮量,  第四纪沉积层,  动态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第四纪沉积层孔隙水贮量. 干旱区生态与资源科学数据中心(https://data.dcxjegi.cn), 2025. https://cstr.cn/CSTR:33110.11.ariddc.00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