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苏联河流径流量及其波动与自然地理因素影响</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本专著由列宁格勒大学地理系水文教研室团队完成，系统分析了苏联全境河流的年均径流量空间分布规律及其自然地理驱动机制。研究涵盖三大核心内容： 1. 气候、地形等自然要素对径流形成的定量影响（特别论证了径流系数与降水-蒸发平衡的关系）； 2. 苏联11个地理分区（欧洲平原、中亚、远东等）的径流特征比较； 3. 年际径流变异性的区域模式及其与气候振荡的关联。</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К. 达维多夫（Л. К. Давыдов） 出版社：Гидрометеоиздат 出版地：列宁格勒 出版年：1947年 页数：161页 语种：俄文 馆藏条形码：XJLASRU70026175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31219.2-2014图书馆馆藏资源数字化加工规范》，完全遵照《苏联河流径流量及其波动与自然地理因素影响》的数据信息，未改动删减。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对收集到的《苏联河流径流量及其波动与自然地理因素影响》进行电子化加工处理，按照国家标准《GB/T 31219.2-2014图书馆馆藏资源数字化加工规范》要求，未改动删减《苏联河流径流量及其波动与自然地理因素影响》的数据信息，数据质量可靠。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自然地理,  径流,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1947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苏联河流径流量及其波动与自然地理因素影响. 干旱区生态与资源科学数据中心(https://data.dcxjegi.cn), 2025. https://cstr.cn/CSTR:33110.11.ariddc.01111.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