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苏联河流径流量及其波动与自然地理因素影响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本专著由列宁格勒大学地理系水文教研室团队完成，系统分析了苏联全境河流的年均径流量空间分布规律及其自然地理驱动机制。研究涵盖三大核心内容： 1. 气候、地形等自然要素对径流形成的定量影响（特别论证了径流系数与降水-蒸发平衡的关系）； 2. 苏联11个地理分区（欧洲平原、中亚、远东等）的径流特征比较； 3. 年际径流变异性的区域模式及其与气候振荡的关联。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К. 达维多夫（Л. К. Давыдов） 出版社：Гидрометеоиздат 出版地：列宁格勒 出版年：1947年 页数：161页 语种：俄文 馆藏条形码：XJLASRU70026175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31219.2-2014图书馆馆藏资源数字化加工规范》，完全遵照《苏联河流径流量及其波动与自然地理因素影响》的数据信息，未改动删减。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对收集到的《苏联河流径流量及其波动与自然地理因素影响》进行电子化加工处理，按照国家标准《GB/T 31219.2-2014图书馆馆藏资源数字化加工规范》要求，未改动删减《苏联河流径流量及其波动与自然地理因素影响》的数据信息，数据质量可靠。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自然地理,  径流,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苏联河流径流量及其波动与自然地理因素影响. 干旱区生态与资源科学数据中心(https://data.dcxjegi.cn), 2025. https://cstr.cn/CSTR:33110.11.ariddc.01111.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