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珍稀植物与新物种发现，记录了哈萨克斯坦北部及天山地区的21种特有植物（如 Oxytropis kirgisensis、Astragalus brevicarinus），分析其地理分布与分类地位，首次报道土库曼植物园引种的 137 种木本植物在干旱条件下的根系适应性。新发现真菌物种 Pleospora incarvilleae和Urocystis oxygraphidis，并描述其与宿主植物的互作机制。第二部分涉及植物系统分类学修订，对葱属（Allium）、黄芪属（Astragalus）等类群进行系统学整理，确认 Silene tianschanica 等新种的有效性。通过染色体分析（如 Picea schrenkiana）探讨中亚山地植物遗传多样性，提出基于分子标记的种群鉴别方法。第三部分研究真菌生态学，描述地衣和酵母菌的形态特征与生态分布，发现其在极端环境下的生存策略。通过对小麦叶斑病菌的实验，揭示酸性条件对真菌孢子萌发率的影响（提升 30%），为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79年 页数：123页 语种：俄语 分类号：UDC 581.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分类, 植物多样性,  干旱区真菌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1卷. 干旱区生态与资源科学数据中心(https://data.dcxjegi.cn), 2025. https://cstr.cn/CSTR:33110.11.ariddc.009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