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中亚突出生态问题评估报告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10.12389/ariddc.00291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报告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关于中亚哈萨克斯坦、乌兹别克斯坦、塔吉克斯坦、吉尔吉斯斯坦和土库曼斯坦五国的跨界水污染、山地生态系统的退化、生产和生活废物处理、土地退化和空气污染共5个部分的评估报告。 中亚的水文网络并不统一。不均匀。锡尔河流域的年均河流流量资源约为 38.8 立方公里。 锡尔河流域年均河流流量资源约为 38.8 千立方米约为 38.8 千立方米。同时，平均每年28.0 千立方米（72.2%），而吉尔吉斯斯坦的年均河流流量为 28.0 千立方米（72.2%）。 乌兹别克斯坦--5.59（14.4），哈萨克斯坦--4.08 (10.5），塔吉克斯坦为每年 1.1 千立方米（0.3%）。 阿姆河流域年均径流资源量阿姆河流域的年均径流量超过 78 千立方（0.3%）。 每年 78 千立方米 其中 62.9 km3 (超过 80%）形成于塔吉克斯坦境内其中 62.9 千立方米（超过 80%）在塔吉克斯坦境内形成，乌兹别克斯坦占 4.7 千立方米。乌兹别克斯坦占 4.7 km3(6%). 几乎所有的河流资源都来自舒河（楚河）、塔拉斯河和阿萨河，共计 4.1 立方公里（图 3）。在吉尔吉斯斯坦境内形成（3.1 千立方米），共计 4.1 千立方米。在吉尔吉斯斯坦境内（3.1 千立方米)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2006年联合国环境规划署和土库曼斯坦联合出版。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电子文本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生态问题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图书馆、情报与文献学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乌兹别克斯坦,   土库曼斯坦, 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余瑶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中亚突出生态问题评估报告. 干旱区生态与资源科学数据中心(https://data.dcxjegi.cn), 2025. https://cstr.cn/CSTR:33110.11.ariddc.00291.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