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中亚1:25万湖泊与河流分布数据（2010年）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反映的是2010年中亚五国范围内的湖泊和河流水系分布情况，数据共有15358个河流湖泊面状矢量，属性表中包含所用TM数据源信息、湖泊或河流的面积、长度、中心点坐标等；投影坐标为GCS_WGS_1984，比例尺1：25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2006、2007、2009和2010年每年丰水期7月、8月、9月、10月的TM遥感数据。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利用ENVI、eCognition软件，通过选取对水体反映强烈的绿波段和近红外波段进行叠加计算，水体提取公式：TM2+TM3-TM4-TM5，在生成的矢量层下叠加TM数据，通过人工干预修正，生产最后的数据产品。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数据采集按照矢量化标准执行，严格按照TM数据进行修正。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2006/09/06-2010/10/31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1：25万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河流,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土库曼斯坦,   吉尔吉斯斯坦,   塔吉克斯坦,   乌兹别克斯坦,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中亚1:25万湖泊与河流分布数据（2010年）. 干旱区生态与资源科学数据中心(https://data.dcxjegi.cn), 2025. https://cstr.cn/CSTR:33110.11.ariddc.00333.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