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题图集系统反映了截至2007年前后（以1930s–2006年为主要时间跨度）乌兹别克斯坦的自然生态环境与资源状况，涵盖地理、地质、水文、气候、生态、灾害及人文等多个主题。图集基于多源空间数据与长期观测记录，整合了联合国教科文组织（UNESCO）框架下的研究成果，全面呈现了该国的地形地貌、地质构造、水系与地下水动态、土壤与植被分布、荒漠化与盐碱化过程、冰川变化、地震与泥石流风险、气候变化特征（降水与气温）、空气污染与城市化影响，以及生物多样性保护格局（重要鸟类栖息地、自然保护区与生态系统区划）等内容，构成了一套多尺度、多主题、时空结合的国家生态环境综合图谱。详细介绍请参考“数据内容描述”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生物多样性,  城市化, 地形地貌,  荒漠化,  气候变化,  盐碱化,  泥石流,  地质构造,  土壤,  水系,  植被,  空气污染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乌兹别克斯坦生态图集.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