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乌兹别克斯坦生态图集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题图集系统反映了截至2007年前后（以1930s–2006年为主要时间跨度）乌兹别克斯坦的自然生态环境与资源状况，涵盖地理、地质、水文、气候、生态、灾害及人文等多个主题。图集基于多源空间数据与长期观测记录，整合了联合国教科文组织（UNESCO）框架下的研究成果，全面呈现了该国的地形地貌、地质构造、水系与地下水动态、土壤与植被分布、荒漠化与盐碱化过程、冰川变化、地震与泥石流风险、气候变化特征（降水与气温）、空气污染与城市化影响，以及生物多样性保护格局（重要鸟类栖息地、自然保护区与生态系统区划）等内容，构成了一套多尺度、多主题、时空结合的国家生态环境综合图谱。详细介绍请参考“数据内容描述”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  生物多样性,  城市化, 地形地貌,  荒漠化,  气候变化,  盐碱化,  泥石流,  地质构造,  土壤,  水系,  植被,  空气污染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乌兹别克斯坦生态图集.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