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湖泊、森林、湿地、耕地、不透水层、冰雪、裸地、草地和其他等9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哨兵2号光学卫星数据为数据源，按照耕地、沙漠、冰川、湖泊、林地、草地、裸地、不透水层，并按照区域及顺序，将全疆分为不同区域和不同类型图层。对每类要素，在全疆范围内选择样本，建立小样本库，通过样本增强、深度学习模型选择，得到全疆要素提取结果。按照该方法对每一地类要素进行深度学习提取，并将这一地类作为下一地类的掩膜，直至完成要求的所有地类。最后对信息提取的结果进行合并，得到完整的LUCC分类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新疆10m地表覆被数据集（2021年）. 干旱区生态与资源科学数据中心(https://data.dcxjegi.cn), 2025. https://cstr.cn/CSTR:33110.11.XIEG.xjsedata.2022.00000104.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