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Comprehensive development of transportation in reclaimed land and fallow areas in northern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Before 1954, Kazakhstan's economy was characterized by insufficient development of land suitable for cultivation. With more than 40million hectares of such land, the sown area of the Republic is only about 10million hectares. Due to the insufficient development of land suitable for cultivation, agriculture has not put forward significant demand for transportation. During the Soviet regime, Kazakhstan's railway network grew more than fourfold. However, either transit railways (tuxi railway, South Siberia railway and trans Kazakhstan trunk line) or special railway lines required for industrial development (guriyev kandagach olsk line, rubzovsk Ridder line, Zarek jezkazgan line, etc.) were built. There are almost no railways specially built for the agricultural development of the Republic. Of course, this does not mean that the built railway has no significance for agricultural development. On the contrary, a series of large-scale irrigated agricultural areas have emerged along the tuxi railway, which used to be desert. The area adjacent to the western section of the southern Siberian Railway (kartare akmolinsk) also began to develop agriculture. However, these two trunk lines are still transit channels. With the reclamation of raw and mature wasteland, the problem of developing transportation dedicated to agricultural production has been raised. This new goal of transportation development requires that the reasonable application scope of different land transportation modes (standard gauge, narrow gauge railway and automobile transportation) be solved in advance. Without solving this problem in advance, it is impossible to correctly plan the final transportation network in the region. The network should ensure the coordination of various transportation modes and minimize the national economic cost of agricultural transportation services in the region. This study attempts to determine the reasonable application scope of various land transport modes in the agricultural economic services of North Kazakhstan through calculation, establish some standards for the length of railway and non railway roads required by the unit territory, and on this basis, give the principle scheme for the construction of regional transportation network.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A. B. Osorkin (Ö соргин), 丨.В. Lavrov, 丨.Ф. Pushenitina (Persende ени м ына), А.М. Veskubova (А скубова) Published by: А з д а т ельс тво А к а д еми наук с к ой С С СР Published: Almaty Publication year: 1957 Pages: 107 pages Language: Russian Collection barcode: XJLAS RU 70019635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stores the book electronically and has been recognized by OCR. The data processing process is in accordance with the national standard "GB/T 31219.2-2014 Specifications for Digital Processing of Library Collection Resources" and fully complies with the data information of "Comprehensive Development of Transportation in Reclamation Areas and Fallow Areas in Northern Kazakhstan"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"Comprehensive Transportation Development Issues in Reclamation Areas and Fallow Areas in Northern Kazakhstan" was electronically processed. In accordance with the requirements of the national standard "GB/T 31219.2-2014 Code for Digital Processing of Library Collection Resources," the data information of "Comprehensive Transportation Development Issues in Reclamation Areas and Fallow Areas in Northern Kazakhstan"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size:253.4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Theme:Optimization of transportation methods, Transportation planning of reclamation area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Place:Republic of 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Comprehensive development of transportation in reclaimed land and fallow areas in northern Kazakhstan. Arid Land Ecology and Resources Science Data Center(https://data.dcxjegi.cn), 2026. https://cstr.cn/CSTR:33110.11.ariddc.02025.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